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B5F1F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1B5F1F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70D9E9E" w:rsidR="00F92268" w:rsidRPr="001B5F1F" w:rsidRDefault="001B5F1F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1B5F1F">
              <w:rPr>
                <w:rFonts w:cs="Arial"/>
                <w:sz w:val="16"/>
                <w:szCs w:val="16"/>
              </w:rPr>
              <w:t>5652-A</w:t>
            </w:r>
          </w:p>
        </w:tc>
      </w:tr>
    </w:tbl>
    <w:p w14:paraId="3F4DE49F" w14:textId="62A49E8A" w:rsidR="004B15BB" w:rsidRDefault="005875DB" w:rsidP="00DA0F12">
      <w:pPr>
        <w:pStyle w:val="Heading1"/>
        <w:spacing w:before="240"/>
      </w:pPr>
      <w:r>
        <w:t>S</w:t>
      </w:r>
      <w:r w:rsidRPr="005875DB">
        <w:t xml:space="preserve">pecialty </w:t>
      </w:r>
      <w:r>
        <w:t>G</w:t>
      </w:r>
      <w:r w:rsidRPr="005875DB">
        <w:t xml:space="preserve">uideline </w:t>
      </w:r>
      <w:r>
        <w:t>M</w:t>
      </w:r>
      <w:r w:rsidRPr="005875DB">
        <w:t>anagement</w:t>
      </w:r>
      <w:r w:rsidR="008C54D9" w:rsidRPr="00BD1CC1">
        <w:br/>
      </w:r>
      <w:proofErr w:type="spellStart"/>
      <w:r w:rsidR="001B5F1F" w:rsidRPr="001B5F1F">
        <w:t>Imjudo</w:t>
      </w:r>
      <w:proofErr w:type="spellEnd"/>
    </w:p>
    <w:p w14:paraId="3A2006BB" w14:textId="4B97DB2E" w:rsidR="001B5F1F" w:rsidRPr="00BD1CC1" w:rsidRDefault="001B5F1F" w:rsidP="001B5F1F">
      <w:pPr>
        <w:pStyle w:val="Heading2"/>
      </w:pPr>
      <w:bookmarkStart w:id="0" w:name="_Hlk163133989"/>
      <w:r w:rsidRPr="00BD1CC1">
        <w:t>Products Referenced by this Document</w:t>
      </w:r>
    </w:p>
    <w:p w14:paraId="79AF1197" w14:textId="467ADA33" w:rsidR="001B5F1F" w:rsidRPr="00BD1CC1" w:rsidRDefault="001B5F1F" w:rsidP="001B5F1F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8576FB">
        <w:t>Over</w:t>
      </w:r>
      <w:r w:rsidR="00373DBE">
        <w:t>-</w:t>
      </w:r>
      <w:r w:rsidR="008576FB">
        <w:t>the</w:t>
      </w:r>
      <w:r w:rsidR="00373DBE">
        <w:t>-</w:t>
      </w:r>
      <w:r w:rsidR="008576FB">
        <w:t>counter (</w:t>
      </w:r>
      <w:r w:rsidRPr="00BD1CC1">
        <w:t>OTC</w:t>
      </w:r>
      <w:r w:rsidR="008576FB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1B5F1F" w:rsidRPr="00BD1CC1" w14:paraId="43C40AAE" w14:textId="77777777" w:rsidTr="00870EFA">
        <w:trPr>
          <w:cantSplit/>
          <w:trHeight w:val="288"/>
          <w:tblHeader/>
        </w:trPr>
        <w:tc>
          <w:tcPr>
            <w:tcW w:w="5265" w:type="dxa"/>
          </w:tcPr>
          <w:p w14:paraId="4C42D001" w14:textId="77777777" w:rsidR="001B5F1F" w:rsidRPr="00BD1CC1" w:rsidRDefault="001B5F1F" w:rsidP="00870EFA">
            <w:pPr>
              <w:pStyle w:val="TableHeader"/>
              <w:spacing w:after="0"/>
            </w:pPr>
            <w:bookmarkStart w:id="1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A32A3D6" w14:textId="77777777" w:rsidR="001B5F1F" w:rsidRPr="00BD1CC1" w:rsidRDefault="001B5F1F" w:rsidP="00870EFA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1B5F1F" w:rsidRPr="00BD1CC1" w14:paraId="44BD5FD4" w14:textId="77777777" w:rsidTr="00870EFA">
        <w:trPr>
          <w:cantSplit/>
        </w:trPr>
        <w:tc>
          <w:tcPr>
            <w:tcW w:w="5265" w:type="dxa"/>
          </w:tcPr>
          <w:p w14:paraId="52DA890E" w14:textId="64C5B72F" w:rsidR="001B5F1F" w:rsidRPr="00BD1CC1" w:rsidRDefault="001B5F1F" w:rsidP="00870EFA">
            <w:pPr>
              <w:pStyle w:val="TableData"/>
              <w:spacing w:after="0"/>
            </w:pPr>
            <w:r w:rsidRPr="001B5F1F">
              <w:t>Imjudo</w:t>
            </w:r>
          </w:p>
        </w:tc>
        <w:tc>
          <w:tcPr>
            <w:tcW w:w="5595" w:type="dxa"/>
          </w:tcPr>
          <w:p w14:paraId="24C8C1BE" w14:textId="0319C447" w:rsidR="001B5F1F" w:rsidRPr="00BD1CC1" w:rsidRDefault="001B5F1F" w:rsidP="00870EFA">
            <w:pPr>
              <w:pStyle w:val="TableData"/>
              <w:spacing w:after="0"/>
            </w:pPr>
            <w:proofErr w:type="spellStart"/>
            <w:r w:rsidRPr="001B5F1F">
              <w:t>tremelimumab-actl</w:t>
            </w:r>
            <w:proofErr w:type="spellEnd"/>
          </w:p>
        </w:tc>
      </w:tr>
    </w:tbl>
    <w:bookmarkEnd w:id="0"/>
    <w:bookmarkEnd w:id="1"/>
    <w:p w14:paraId="14CE6108" w14:textId="1BC044F0" w:rsidR="00FC1AAD" w:rsidRPr="001B5F1F" w:rsidRDefault="00ED052F" w:rsidP="00ED052F">
      <w:pPr>
        <w:pStyle w:val="Heading2"/>
      </w:pPr>
      <w:r>
        <w:t>Indications</w:t>
      </w:r>
    </w:p>
    <w:p w14:paraId="7732B5E8" w14:textId="77777777" w:rsidR="005875DB" w:rsidRPr="005875DB" w:rsidRDefault="005875DB" w:rsidP="001B5F1F">
      <w:pPr>
        <w:pStyle w:val="BodyText"/>
      </w:pPr>
      <w:r w:rsidRPr="005875D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2890A80" w:rsidR="00ED052F" w:rsidRPr="004B073F" w:rsidRDefault="00ED052F" w:rsidP="001B5F1F">
      <w:pPr>
        <w:pStyle w:val="Heading3"/>
        <w:rPr>
          <w:vertAlign w:val="superscript"/>
        </w:rPr>
      </w:pPr>
      <w:r w:rsidRPr="00BD1CC1">
        <w:t>FDA-</w:t>
      </w:r>
      <w:r w:rsidR="00BF7E1B">
        <w:t>a</w:t>
      </w:r>
      <w:r w:rsidR="00BF7E1B" w:rsidRPr="00BD1CC1">
        <w:t xml:space="preserve">pproved </w:t>
      </w:r>
      <w:r w:rsidRPr="00BD1CC1">
        <w:t>Indications</w:t>
      </w:r>
      <w:r w:rsidR="00BF7E1B">
        <w:rPr>
          <w:vertAlign w:val="superscript"/>
        </w:rPr>
        <w:t>1</w:t>
      </w:r>
    </w:p>
    <w:p w14:paraId="3032063D" w14:textId="227D346C" w:rsidR="005875DB" w:rsidRDefault="005875DB" w:rsidP="005875DB">
      <w:pPr>
        <w:pStyle w:val="ListParagraph"/>
        <w:numPr>
          <w:ilvl w:val="0"/>
          <w:numId w:val="26"/>
        </w:numPr>
      </w:pPr>
      <w:r>
        <w:t>Imjudo is indicated in combination with durvalumab for the treatment of adult patients with unresectable hepatocellular carcinoma (</w:t>
      </w:r>
      <w:proofErr w:type="spellStart"/>
      <w:r>
        <w:t>uHCC</w:t>
      </w:r>
      <w:proofErr w:type="spellEnd"/>
      <w:r>
        <w:t>).</w:t>
      </w:r>
    </w:p>
    <w:p w14:paraId="3058A5F8" w14:textId="2030C04B" w:rsidR="005C778C" w:rsidRPr="00255903" w:rsidRDefault="005875DB" w:rsidP="005875DB">
      <w:pPr>
        <w:pStyle w:val="ListParagraph"/>
        <w:numPr>
          <w:ilvl w:val="0"/>
          <w:numId w:val="26"/>
        </w:numPr>
      </w:pPr>
      <w:r>
        <w:t>Imjudo is indicated in combination with durvalumab and platinum-based chemotherapy for the treatment of adult patients with metastatic non-small cell lung cancer (NSCLC) with no sensitizing epidermal growth factor receptor (EGFR) mutation or anaplastic lymphoma kinase (ALK) genomic tumor aberrations.</w:t>
      </w:r>
    </w:p>
    <w:p w14:paraId="0B5EC236" w14:textId="2BF39EEB" w:rsidR="0044763A" w:rsidRPr="004B073F" w:rsidRDefault="009F2EF1" w:rsidP="0044763A">
      <w:pPr>
        <w:pStyle w:val="Heading3"/>
        <w:rPr>
          <w:vertAlign w:val="superscript"/>
        </w:rPr>
      </w:pPr>
      <w:r>
        <w:t>Compendial Uses</w:t>
      </w:r>
      <w:r w:rsidR="00BF7E1B">
        <w:rPr>
          <w:vertAlign w:val="superscript"/>
        </w:rPr>
        <w:t>2</w:t>
      </w:r>
    </w:p>
    <w:p w14:paraId="276F3973" w14:textId="77777777" w:rsidR="005875DB" w:rsidRPr="005875DB" w:rsidRDefault="005875DB" w:rsidP="001B5F1F">
      <w:pPr>
        <w:pStyle w:val="ListParagraph"/>
        <w:numPr>
          <w:ilvl w:val="0"/>
          <w:numId w:val="26"/>
        </w:numPr>
      </w:pPr>
      <w:r w:rsidRPr="001B5F1F">
        <w:t>Recurrent and advanced NSCLC</w:t>
      </w:r>
    </w:p>
    <w:p w14:paraId="7881F101" w14:textId="77777777" w:rsidR="005875DB" w:rsidRPr="005875DB" w:rsidRDefault="005875DB" w:rsidP="001B5F1F">
      <w:pPr>
        <w:pStyle w:val="ListParagraph"/>
        <w:numPr>
          <w:ilvl w:val="0"/>
          <w:numId w:val="26"/>
        </w:numPr>
      </w:pPr>
      <w:r w:rsidRPr="001B5F1F">
        <w:t>Esophageal and esophagogastric junction cancer</w:t>
      </w:r>
    </w:p>
    <w:p w14:paraId="644838A9" w14:textId="2973E00A" w:rsidR="005875DB" w:rsidRPr="005875DB" w:rsidRDefault="005875DB" w:rsidP="001B5F1F">
      <w:pPr>
        <w:pStyle w:val="ListParagraph"/>
        <w:numPr>
          <w:ilvl w:val="0"/>
          <w:numId w:val="26"/>
        </w:numPr>
        <w:spacing w:after="120"/>
      </w:pPr>
      <w:r w:rsidRPr="001B5F1F">
        <w:t>Gastric cancer</w:t>
      </w:r>
    </w:p>
    <w:p w14:paraId="0D5A9DD5" w14:textId="5D669A60" w:rsidR="009A5649" w:rsidRPr="00BD1CC1" w:rsidRDefault="009A5649" w:rsidP="005875DB">
      <w:pPr>
        <w:pStyle w:val="BodyText"/>
        <w:rPr>
          <w:rFonts w:eastAsia="Arial"/>
        </w:rPr>
      </w:pPr>
      <w:r w:rsidRPr="00BD1CC1">
        <w:t xml:space="preserve">All other indications are considered experimental/investigational and </w:t>
      </w:r>
      <w:r w:rsidRPr="00BD1CC1">
        <w:rPr>
          <w:rFonts w:eastAsia="Arial"/>
        </w:rPr>
        <w:t>not medically necessary.</w:t>
      </w:r>
    </w:p>
    <w:p w14:paraId="36381B6D" w14:textId="6E64C144" w:rsidR="000D2496" w:rsidRPr="00BD1CC1" w:rsidRDefault="000D2496" w:rsidP="00A267E4">
      <w:pPr>
        <w:pStyle w:val="Heading2"/>
        <w:tabs>
          <w:tab w:val="left" w:pos="9780"/>
        </w:tabs>
      </w:pPr>
      <w:r w:rsidRPr="00BD1CC1">
        <w:lastRenderedPageBreak/>
        <w:t>Documentation</w:t>
      </w:r>
    </w:p>
    <w:p w14:paraId="1AD342BF" w14:textId="7C8BD940" w:rsidR="005875DB" w:rsidRPr="005875DB" w:rsidRDefault="000D2496" w:rsidP="005875DB">
      <w:pPr>
        <w:pStyle w:val="BodyText"/>
      </w:pPr>
      <w:r w:rsidRPr="00BD1CC1">
        <w:t>Submission of the following information is necessary to initiate the prior authorization review:</w:t>
      </w:r>
    </w:p>
    <w:p w14:paraId="6A3C0165" w14:textId="4A321222" w:rsidR="005875DB" w:rsidRPr="001B5F1F" w:rsidRDefault="005875DB" w:rsidP="001B5F1F">
      <w:pPr>
        <w:pStyle w:val="ListParagraph"/>
        <w:numPr>
          <w:ilvl w:val="0"/>
          <w:numId w:val="26"/>
        </w:numPr>
      </w:pPr>
      <w:r w:rsidRPr="005875DB">
        <w:t xml:space="preserve">Documentation of the absence of EGFR exon 19 deletion and </w:t>
      </w:r>
      <w:r w:rsidR="00CA53B2">
        <w:t xml:space="preserve">exon 21 </w:t>
      </w:r>
      <w:r w:rsidRPr="005875DB">
        <w:t>L858R mutations and ALK rearrangements, where applicable (unless testing is not feasible due to insufficient tissue).</w:t>
      </w:r>
    </w:p>
    <w:p w14:paraId="4964F736" w14:textId="742867B6" w:rsidR="0060721E" w:rsidRPr="00785A41" w:rsidRDefault="005875DB" w:rsidP="001B5F1F">
      <w:pPr>
        <w:pStyle w:val="ListParagraph"/>
        <w:numPr>
          <w:ilvl w:val="0"/>
          <w:numId w:val="26"/>
        </w:numPr>
        <w:rPr>
          <w:bCs/>
        </w:rPr>
      </w:pPr>
      <w:r w:rsidRPr="005875DB">
        <w:t>Documentation of laboratory report confirming microsatellite instability-high (MSI-H) or mismatch repair deficient (dMMR) tumor status, where applicable.</w:t>
      </w:r>
    </w:p>
    <w:p w14:paraId="50A38FBA" w14:textId="47F29E98" w:rsidR="00FE0C63" w:rsidRPr="001B5F1F" w:rsidRDefault="006243FC" w:rsidP="001B5F1F">
      <w:pPr>
        <w:pStyle w:val="Heading2"/>
      </w:pPr>
      <w:r w:rsidRPr="006243FC">
        <w:t>Coverage Criteria</w:t>
      </w:r>
    </w:p>
    <w:p w14:paraId="5E357792" w14:textId="5AD43CE8" w:rsidR="00C22F9B" w:rsidRPr="004B073F" w:rsidRDefault="005875DB" w:rsidP="00C22F9B">
      <w:pPr>
        <w:pStyle w:val="Heading3"/>
        <w:rPr>
          <w:vertAlign w:val="superscript"/>
        </w:rPr>
      </w:pPr>
      <w:r w:rsidRPr="005875DB">
        <w:t>Hepatocellular Carcinoma</w:t>
      </w:r>
      <w:r w:rsidR="00996643">
        <w:rPr>
          <w:vertAlign w:val="superscript"/>
        </w:rPr>
        <w:t>1,2</w:t>
      </w:r>
    </w:p>
    <w:p w14:paraId="4478ADF3" w14:textId="77777777" w:rsidR="005875DB" w:rsidRPr="001B5F1F" w:rsidRDefault="005875DB" w:rsidP="001B5F1F">
      <w:pPr>
        <w:pStyle w:val="BodyText"/>
      </w:pPr>
      <w:bookmarkStart w:id="2" w:name="_Hlk67995568"/>
      <w:r w:rsidRPr="005875DB">
        <w:t>Authorization of 1 month for a one-time single dose may be granted for treatment of hepatocellular carcinoma when all of the following criteria are met:</w:t>
      </w:r>
    </w:p>
    <w:p w14:paraId="69120BF9" w14:textId="795C8CEF" w:rsidR="005875DB" w:rsidRPr="005875DB" w:rsidRDefault="005875DB" w:rsidP="001B5F1F">
      <w:pPr>
        <w:pStyle w:val="ListParagraph"/>
        <w:numPr>
          <w:ilvl w:val="0"/>
          <w:numId w:val="26"/>
        </w:numPr>
      </w:pPr>
      <w:r w:rsidRPr="005875DB">
        <w:t>The requested medication will be used in combination with durvalumab (Imfinzi)</w:t>
      </w:r>
      <w:r w:rsidR="00996643">
        <w:t>.</w:t>
      </w:r>
    </w:p>
    <w:p w14:paraId="74623728" w14:textId="51A37B43" w:rsidR="005875DB" w:rsidRDefault="005875DB" w:rsidP="001B5F1F">
      <w:pPr>
        <w:pStyle w:val="ListParagraph"/>
        <w:numPr>
          <w:ilvl w:val="0"/>
          <w:numId w:val="26"/>
        </w:numPr>
      </w:pPr>
      <w:r w:rsidRPr="005875DB">
        <w:t>The disease is unresectable</w:t>
      </w:r>
      <w:r w:rsidR="005E5323">
        <w:t xml:space="preserve"> or</w:t>
      </w:r>
      <w:r w:rsidRPr="005875DB">
        <w:t xml:space="preserve"> </w:t>
      </w:r>
      <w:r w:rsidR="00F64190">
        <w:t>extrahepatic/</w:t>
      </w:r>
      <w:r w:rsidRPr="005875DB">
        <w:t>metastatic</w:t>
      </w:r>
      <w:r w:rsidR="00996643">
        <w:t>.</w:t>
      </w:r>
    </w:p>
    <w:p w14:paraId="19231379" w14:textId="551EAD42" w:rsidR="005E5323" w:rsidRPr="005875DB" w:rsidRDefault="005E5323" w:rsidP="001B5F1F">
      <w:pPr>
        <w:pStyle w:val="ListParagraph"/>
        <w:numPr>
          <w:ilvl w:val="0"/>
          <w:numId w:val="26"/>
        </w:numPr>
      </w:pPr>
      <w:r>
        <w:t>The member is ineligible for transplant</w:t>
      </w:r>
      <w:r w:rsidR="00ED3538">
        <w:t>.</w:t>
      </w:r>
    </w:p>
    <w:bookmarkEnd w:id="2"/>
    <w:p w14:paraId="1D2AE12D" w14:textId="389796C8" w:rsidR="00165258" w:rsidRPr="004B073F" w:rsidRDefault="00F011F4" w:rsidP="00165258">
      <w:pPr>
        <w:pStyle w:val="Heading3"/>
        <w:rPr>
          <w:vertAlign w:val="superscript"/>
        </w:rPr>
      </w:pPr>
      <w:r w:rsidRPr="00F011F4">
        <w:t>NSCLC</w:t>
      </w:r>
      <w:r w:rsidR="00996643">
        <w:rPr>
          <w:vertAlign w:val="superscript"/>
        </w:rPr>
        <w:t>1,2</w:t>
      </w:r>
    </w:p>
    <w:p w14:paraId="7A71F7F1" w14:textId="4BB155A1" w:rsidR="00165258" w:rsidRDefault="00F011F4" w:rsidP="00165258">
      <w:pPr>
        <w:pStyle w:val="BodyText"/>
      </w:pPr>
      <w:r w:rsidRPr="00F011F4">
        <w:t>Authorization of 6 months for a total of 5 doses may be granted for treatment of recurrent, advanced or metastatic non-small cell lung cancer when all of the following criteria are met:</w:t>
      </w:r>
    </w:p>
    <w:p w14:paraId="481CD760" w14:textId="52AED2E6" w:rsidR="00F011F4" w:rsidRDefault="00F011F4" w:rsidP="001B5F1F">
      <w:pPr>
        <w:pStyle w:val="ListParagraph"/>
        <w:numPr>
          <w:ilvl w:val="0"/>
          <w:numId w:val="26"/>
        </w:numPr>
      </w:pPr>
      <w:r>
        <w:t>The requested medication will be used in combination with durvalumab (Imfinzi) and platinum-based chemotherapy</w:t>
      </w:r>
      <w:r w:rsidR="004D73D8">
        <w:t>.</w:t>
      </w:r>
    </w:p>
    <w:p w14:paraId="39F17391" w14:textId="3E1B6E92" w:rsidR="00F011F4" w:rsidRDefault="00F011F4" w:rsidP="001B5F1F">
      <w:pPr>
        <w:pStyle w:val="ListParagraph"/>
        <w:numPr>
          <w:ilvl w:val="0"/>
          <w:numId w:val="26"/>
        </w:numPr>
      </w:pPr>
      <w:r>
        <w:t xml:space="preserve">The tumor is negative for EGFR exon 19 deletion and </w:t>
      </w:r>
      <w:r w:rsidR="00087AEA">
        <w:t xml:space="preserve">exon 21 </w:t>
      </w:r>
      <w:r>
        <w:t>L858R mutations and ALK rearrangements</w:t>
      </w:r>
      <w:r w:rsidR="004D73D8">
        <w:t>.</w:t>
      </w:r>
    </w:p>
    <w:p w14:paraId="5143FDF4" w14:textId="2A88AB8F" w:rsidR="00F011F4" w:rsidRPr="004B073F" w:rsidRDefault="00F011F4" w:rsidP="00F011F4">
      <w:pPr>
        <w:pStyle w:val="Heading3"/>
        <w:rPr>
          <w:vertAlign w:val="superscript"/>
        </w:rPr>
      </w:pPr>
      <w:r w:rsidRPr="00F011F4">
        <w:t>Esophageal, Esophagogastric Junction and Gastric Cancer</w:t>
      </w:r>
      <w:r w:rsidR="00996643">
        <w:rPr>
          <w:vertAlign w:val="superscript"/>
        </w:rPr>
        <w:t>2,3</w:t>
      </w:r>
    </w:p>
    <w:p w14:paraId="190945A2" w14:textId="4FFF9779" w:rsidR="00F011F4" w:rsidRDefault="00F011F4" w:rsidP="001B5F1F">
      <w:pPr>
        <w:pStyle w:val="BodyText"/>
      </w:pPr>
      <w:r w:rsidRPr="00F011F4">
        <w:t>Authorization of 1 month for a one-time single dose may be granted for treatment of esophageal, esophagogastric junction or gastric cancer when all of the following criteria are met:</w:t>
      </w:r>
    </w:p>
    <w:p w14:paraId="4920A5D8" w14:textId="64C237C4" w:rsidR="00F011F4" w:rsidRPr="00F011F4" w:rsidRDefault="00F011F4" w:rsidP="001B5F1F">
      <w:pPr>
        <w:pStyle w:val="ListParagraph"/>
        <w:numPr>
          <w:ilvl w:val="0"/>
          <w:numId w:val="26"/>
        </w:numPr>
      </w:pPr>
      <w:r w:rsidRPr="00F011F4">
        <w:t>The requested medication will be used in combination with durvalumab (Imfinzi) for neoadjuvant treatment</w:t>
      </w:r>
      <w:r w:rsidR="004D73D8">
        <w:t>.</w:t>
      </w:r>
    </w:p>
    <w:p w14:paraId="0487299D" w14:textId="09E24DD2" w:rsidR="00F011F4" w:rsidRPr="00F011F4" w:rsidRDefault="00F011F4" w:rsidP="001B5F1F">
      <w:pPr>
        <w:pStyle w:val="ListParagraph"/>
        <w:numPr>
          <w:ilvl w:val="0"/>
          <w:numId w:val="26"/>
        </w:numPr>
      </w:pPr>
      <w:r w:rsidRPr="00F011F4">
        <w:t>The tumor is microsatellite instability-high (MSI-H) or deficient mismatch repair (dMMR)</w:t>
      </w:r>
      <w:r w:rsidR="004D73D8">
        <w:t>.</w:t>
      </w:r>
    </w:p>
    <w:p w14:paraId="50540CDA" w14:textId="49D02F2E" w:rsidR="00F011F4" w:rsidRDefault="00F011F4" w:rsidP="001B5F1F">
      <w:pPr>
        <w:pStyle w:val="ListParagraph"/>
        <w:numPr>
          <w:ilvl w:val="0"/>
          <w:numId w:val="26"/>
        </w:numPr>
      </w:pPr>
      <w:r w:rsidRPr="00F011F4">
        <w:t>The member is medically fit for surgery</w:t>
      </w:r>
      <w:r w:rsidR="004D73D8">
        <w:t>.</w:t>
      </w:r>
    </w:p>
    <w:p w14:paraId="17409917" w14:textId="79BCFD53" w:rsidR="00C96B3F" w:rsidRPr="008D1B34" w:rsidRDefault="00C96B3F" w:rsidP="008D1B34">
      <w:pPr>
        <w:pStyle w:val="Heading2"/>
      </w:pPr>
      <w:bookmarkStart w:id="3" w:name="S2.2"/>
      <w:bookmarkStart w:id="4" w:name="section-2.2"/>
      <w:bookmarkStart w:id="5" w:name="section-2.2.1"/>
      <w:bookmarkStart w:id="6" w:name="section-2.2.2"/>
      <w:bookmarkEnd w:id="3"/>
      <w:bookmarkEnd w:id="4"/>
      <w:bookmarkEnd w:id="5"/>
      <w:bookmarkEnd w:id="6"/>
      <w:r w:rsidRPr="008D1B34">
        <w:t>References</w:t>
      </w:r>
    </w:p>
    <w:p w14:paraId="69C53831" w14:textId="29FE19B0" w:rsidR="00F011F4" w:rsidRPr="001B5F1F" w:rsidRDefault="00F011F4" w:rsidP="001B5F1F">
      <w:pPr>
        <w:pStyle w:val="ReferenceOrdered"/>
        <w:keepNext w:val="0"/>
        <w:numPr>
          <w:ilvl w:val="0"/>
          <w:numId w:val="38"/>
        </w:numPr>
        <w:ind w:left="360"/>
      </w:pPr>
      <w:r w:rsidRPr="001B5F1F">
        <w:t>Imjudo [package insert]. Wilmington, DE: AstraZeneca Pharmaceuticals LP; Ju</w:t>
      </w:r>
      <w:r w:rsidR="008F222B">
        <w:t>ly</w:t>
      </w:r>
      <w:r w:rsidRPr="001B5F1F">
        <w:t xml:space="preserve"> 202</w:t>
      </w:r>
      <w:r w:rsidR="008F222B">
        <w:t>4</w:t>
      </w:r>
      <w:r w:rsidRPr="001B5F1F">
        <w:t>.</w:t>
      </w:r>
    </w:p>
    <w:p w14:paraId="4E09A73C" w14:textId="7D95B67C" w:rsidR="00F011F4" w:rsidRPr="001B5F1F" w:rsidRDefault="00F011F4" w:rsidP="001B5F1F">
      <w:pPr>
        <w:pStyle w:val="ReferenceOrdered"/>
        <w:keepNext w:val="0"/>
        <w:numPr>
          <w:ilvl w:val="0"/>
          <w:numId w:val="38"/>
        </w:numPr>
        <w:ind w:left="360"/>
      </w:pPr>
      <w:r w:rsidRPr="001B5F1F">
        <w:t>The NCCN Drugs &amp; Biologics Compendium® © 202</w:t>
      </w:r>
      <w:r w:rsidR="005E5323">
        <w:t>4</w:t>
      </w:r>
      <w:r w:rsidRPr="001B5F1F">
        <w:t xml:space="preserve"> National Comprehensive Cancer Network, Inc. http://www.nccn.org. Accessed </w:t>
      </w:r>
      <w:r w:rsidR="008F222B">
        <w:t>December</w:t>
      </w:r>
      <w:r w:rsidR="003C24DA">
        <w:t xml:space="preserve"> </w:t>
      </w:r>
      <w:r w:rsidR="008F222B">
        <w:t>2</w:t>
      </w:r>
      <w:r w:rsidRPr="001B5F1F">
        <w:t>, 202</w:t>
      </w:r>
      <w:r w:rsidR="005E5323">
        <w:t>4</w:t>
      </w:r>
      <w:r w:rsidRPr="001B5F1F">
        <w:t>.</w:t>
      </w:r>
    </w:p>
    <w:p w14:paraId="5E888881" w14:textId="4A4F79AB" w:rsidR="001B5F1F" w:rsidRDefault="00F011F4" w:rsidP="00A267E4">
      <w:pPr>
        <w:pStyle w:val="ReferenceOrdered"/>
        <w:keepNext w:val="0"/>
        <w:numPr>
          <w:ilvl w:val="0"/>
          <w:numId w:val="38"/>
        </w:numPr>
        <w:spacing w:after="120"/>
        <w:ind w:left="360"/>
      </w:pPr>
      <w:r w:rsidRPr="001B5F1F">
        <w:t xml:space="preserve">Pietrantonio, Filippo, Raimondi Alessandra, </w:t>
      </w:r>
      <w:proofErr w:type="spellStart"/>
      <w:r w:rsidRPr="001B5F1F">
        <w:t>Lonardi</w:t>
      </w:r>
      <w:proofErr w:type="spellEnd"/>
      <w:r w:rsidRPr="001B5F1F">
        <w:t xml:space="preserve"> Sara, et al. Infinity: A multicenter, single-arm, multi-cohort, phase II trial of tremelimumab and durvalumab as neoadjuvant treatment of patients with microsatellite instability-high (MSI) resectable gastric or gastroesophageal junction adenocarcinoma (GAC/GEJAC). Journal of Clinical Oncology. 2023; 4: 358.</w:t>
      </w:r>
    </w:p>
    <w:sectPr w:rsidR="001B5F1F" w:rsidSect="00184652">
      <w:headerReference w:type="default" r:id="rId12"/>
      <w:footerReference w:type="default" r:id="rId13"/>
      <w:footerReference w:type="first" r:id="rId14"/>
      <w:type w:val="continuous"/>
      <w:pgSz w:w="12240" w:h="15840" w:code="1"/>
      <w:pgMar w:top="900" w:right="720" w:bottom="990" w:left="720" w:header="806" w:footer="806" w:gutter="0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4289F" w14:textId="77777777" w:rsidR="00A72F46" w:rsidRDefault="00A72F46">
      <w:r>
        <w:separator/>
      </w:r>
    </w:p>
  </w:endnote>
  <w:endnote w:type="continuationSeparator" w:id="0">
    <w:p w14:paraId="574047B9" w14:textId="77777777" w:rsidR="00A72F46" w:rsidRDefault="00A72F46">
      <w:r>
        <w:continuationSeparator/>
      </w:r>
    </w:p>
  </w:endnote>
  <w:endnote w:type="continuationNotice" w:id="1">
    <w:p w14:paraId="704F63B2" w14:textId="77777777" w:rsidR="00A72F46" w:rsidRDefault="00A72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A25E4" w14:textId="7DDAB3D0" w:rsidR="000F4E9D" w:rsidRPr="00E234B9" w:rsidRDefault="00000000" w:rsidP="000F4E9D">
    <w:pPr>
      <w:pStyle w:val="Marginfooter"/>
    </w:pPr>
    <w:fldSimple w:instr=" FILENAME   \* MERGEFORMAT ">
      <w:r w:rsidR="00A44F55">
        <w:t>Imjudo SGM 5652-A P2025.docx</w:t>
      </w:r>
    </w:fldSimple>
    <w:r w:rsidR="000F4E9D" w:rsidRPr="00E234B9">
      <w:tab/>
      <w:t>© 202</w:t>
    </w:r>
    <w:r w:rsidR="0008698D">
      <w:t>5</w:t>
    </w:r>
    <w:r w:rsidR="000F4E9D" w:rsidRPr="00E234B9">
      <w:t xml:space="preserve"> CVS Caremark. All rights reserved.</w:t>
    </w:r>
  </w:p>
  <w:p w14:paraId="332C47E3" w14:textId="14054FF6" w:rsidR="000F4E9D" w:rsidRPr="00E234B9" w:rsidRDefault="000F4E9D" w:rsidP="000F4E9D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36800404" w14:textId="44CEA1D0" w:rsidR="000F4E9D" w:rsidRPr="009A75B2" w:rsidRDefault="000F4E9D" w:rsidP="00A267E4">
    <w:pPr>
      <w:pStyle w:val="Footer"/>
      <w:jc w:val="center"/>
      <w:rPr>
        <w:sz w:val="16"/>
        <w:szCs w:val="16"/>
      </w:rPr>
    </w:pPr>
    <w:r w:rsidRPr="009A75B2">
      <w:rPr>
        <w:rFonts w:cs="Arial"/>
        <w:sz w:val="16"/>
        <w:szCs w:val="16"/>
      </w:rPr>
      <w:fldChar w:fldCharType="begin"/>
    </w:r>
    <w:r w:rsidRPr="009A75B2">
      <w:rPr>
        <w:rFonts w:cs="Arial"/>
        <w:sz w:val="16"/>
        <w:szCs w:val="16"/>
      </w:rPr>
      <w:instrText xml:space="preserve"> PAGE </w:instrText>
    </w:r>
    <w:r w:rsidRPr="009A75B2">
      <w:rPr>
        <w:rFonts w:cs="Arial"/>
        <w:sz w:val="16"/>
        <w:szCs w:val="16"/>
      </w:rPr>
      <w:fldChar w:fldCharType="separate"/>
    </w:r>
    <w:r w:rsidRPr="009A75B2">
      <w:rPr>
        <w:rFonts w:cs="Arial"/>
        <w:sz w:val="16"/>
        <w:szCs w:val="16"/>
      </w:rPr>
      <w:t>2</w:t>
    </w:r>
    <w:r w:rsidRPr="009A75B2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28C8" w14:textId="4EB2326C" w:rsidR="000F4E9D" w:rsidRPr="00E234B9" w:rsidRDefault="00000000" w:rsidP="000F4E9D">
    <w:pPr>
      <w:pStyle w:val="Marginfooter"/>
    </w:pPr>
    <w:fldSimple w:instr=" FILENAME   \* MERGEFORMAT ">
      <w:r w:rsidR="009A2B7E">
        <w:t>Imjudo SGM 5652-A P2025.docx</w:t>
      </w:r>
    </w:fldSimple>
    <w:r w:rsidR="000F4E9D" w:rsidRPr="00E234B9">
      <w:tab/>
      <w:t>© 202</w:t>
    </w:r>
    <w:r w:rsidR="0008698D">
      <w:t>5</w:t>
    </w:r>
    <w:r w:rsidR="000F4E9D" w:rsidRPr="00E234B9">
      <w:t xml:space="preserve"> CVS Caremark. All rights reserved.</w:t>
    </w:r>
  </w:p>
  <w:p w14:paraId="7788534D" w14:textId="28119295" w:rsidR="000F4E9D" w:rsidRPr="00E234B9" w:rsidRDefault="000F4E9D" w:rsidP="000F4E9D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36C9B211" w14:textId="43F09839" w:rsidR="008B1382" w:rsidRPr="00A44F55" w:rsidRDefault="000F4E9D" w:rsidP="00A267E4">
    <w:pPr>
      <w:pStyle w:val="Footer"/>
      <w:jc w:val="center"/>
      <w:rPr>
        <w:sz w:val="16"/>
        <w:szCs w:val="16"/>
      </w:rPr>
    </w:pPr>
    <w:r w:rsidRPr="00A44F55">
      <w:rPr>
        <w:rFonts w:cs="Arial"/>
        <w:sz w:val="16"/>
        <w:szCs w:val="16"/>
      </w:rPr>
      <w:fldChar w:fldCharType="begin"/>
    </w:r>
    <w:r w:rsidRPr="00A44F55">
      <w:rPr>
        <w:rFonts w:cs="Arial"/>
        <w:sz w:val="16"/>
        <w:szCs w:val="16"/>
      </w:rPr>
      <w:instrText xml:space="preserve"> PAGE </w:instrText>
    </w:r>
    <w:r w:rsidRPr="00A44F55">
      <w:rPr>
        <w:rFonts w:cs="Arial"/>
        <w:sz w:val="16"/>
        <w:szCs w:val="16"/>
      </w:rPr>
      <w:fldChar w:fldCharType="separate"/>
    </w:r>
    <w:r w:rsidRPr="00A44F55">
      <w:rPr>
        <w:rFonts w:cs="Arial"/>
        <w:sz w:val="16"/>
        <w:szCs w:val="16"/>
      </w:rPr>
      <w:t>2</w:t>
    </w:r>
    <w:r w:rsidRPr="00A44F55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2875" w14:textId="77777777" w:rsidR="00A72F46" w:rsidRDefault="00A72F46">
      <w:r>
        <w:separator/>
      </w:r>
    </w:p>
  </w:footnote>
  <w:footnote w:type="continuationSeparator" w:id="0">
    <w:p w14:paraId="55EBEAC1" w14:textId="77777777" w:rsidR="00A72F46" w:rsidRDefault="00A72F46">
      <w:r>
        <w:continuationSeparator/>
      </w:r>
    </w:p>
  </w:footnote>
  <w:footnote w:type="continuationNotice" w:id="1">
    <w:p w14:paraId="6400542A" w14:textId="77777777" w:rsidR="00A72F46" w:rsidRDefault="00A72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A267E4" w:rsidRPr="00BD1CC1" w14:paraId="18154898" w14:textId="77777777" w:rsidTr="000D1543">
      <w:trPr>
        <w:trHeight w:val="144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2F2F2" w:themeFill="background1" w:themeFillShade="F2"/>
          <w:hideMark/>
        </w:tcPr>
        <w:p w14:paraId="18268050" w14:textId="77777777" w:rsidR="00A267E4" w:rsidRPr="001B5F1F" w:rsidRDefault="00A267E4" w:rsidP="00A267E4">
          <w:pPr>
            <w:pStyle w:val="Header"/>
            <w:rPr>
              <w:rFonts w:cs="Arial"/>
              <w:sz w:val="16"/>
              <w:szCs w:val="16"/>
            </w:rPr>
          </w:pPr>
          <w:r w:rsidRPr="001B5F1F">
            <w:rPr>
              <w:rFonts w:cs="Arial"/>
              <w:sz w:val="16"/>
              <w:szCs w:val="16"/>
            </w:rPr>
            <w:t>Reference number(s)</w:t>
          </w:r>
        </w:p>
      </w:tc>
    </w:tr>
    <w:tr w:rsidR="00A267E4" w:rsidRPr="00BD1CC1" w14:paraId="128E5222" w14:textId="77777777" w:rsidTr="000D1543">
      <w:trPr>
        <w:trHeight w:val="378"/>
        <w:jc w:val="right"/>
      </w:trPr>
      <w:tc>
        <w:tcPr>
          <w:tcW w:w="18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8EA64C" w14:textId="77777777" w:rsidR="00A267E4" w:rsidRPr="001B5F1F" w:rsidRDefault="00A267E4" w:rsidP="00A267E4">
          <w:pPr>
            <w:pStyle w:val="Header"/>
            <w:rPr>
              <w:rFonts w:cs="Arial"/>
              <w:sz w:val="16"/>
              <w:szCs w:val="16"/>
            </w:rPr>
          </w:pPr>
          <w:r w:rsidRPr="001B5F1F">
            <w:rPr>
              <w:rFonts w:cs="Arial"/>
              <w:sz w:val="16"/>
              <w:szCs w:val="16"/>
            </w:rPr>
            <w:t>5652-A</w:t>
          </w:r>
        </w:p>
      </w:tc>
    </w:tr>
  </w:tbl>
  <w:p w14:paraId="770ACE45" w14:textId="77777777" w:rsidR="00A267E4" w:rsidRDefault="00A267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F27A2"/>
    <w:multiLevelType w:val="hybridMultilevel"/>
    <w:tmpl w:val="55981DF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010BB5"/>
    <w:multiLevelType w:val="hybridMultilevel"/>
    <w:tmpl w:val="9B3E0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156F1"/>
    <w:multiLevelType w:val="hybridMultilevel"/>
    <w:tmpl w:val="30AA37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386262"/>
    <w:multiLevelType w:val="hybridMultilevel"/>
    <w:tmpl w:val="1E08704E"/>
    <w:lvl w:ilvl="0" w:tplc="40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 w15:restartNumberingAfterBreak="0">
    <w:nsid w:val="2AB51274"/>
    <w:multiLevelType w:val="hybridMultilevel"/>
    <w:tmpl w:val="EF3C61D0"/>
    <w:lvl w:ilvl="0" w:tplc="7752F6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B5EE2"/>
    <w:multiLevelType w:val="hybridMultilevel"/>
    <w:tmpl w:val="49049B5C"/>
    <w:lvl w:ilvl="0" w:tplc="2370C6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812D43"/>
    <w:multiLevelType w:val="hybridMultilevel"/>
    <w:tmpl w:val="3AF671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6E7E20"/>
    <w:multiLevelType w:val="hybridMultilevel"/>
    <w:tmpl w:val="C096D3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52581"/>
    <w:multiLevelType w:val="hybridMultilevel"/>
    <w:tmpl w:val="E9E206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46542E"/>
    <w:multiLevelType w:val="hybridMultilevel"/>
    <w:tmpl w:val="3C0AA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2126F"/>
    <w:multiLevelType w:val="hybridMultilevel"/>
    <w:tmpl w:val="A752773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F3873"/>
    <w:multiLevelType w:val="hybridMultilevel"/>
    <w:tmpl w:val="E8BE7576"/>
    <w:lvl w:ilvl="0" w:tplc="24D0A0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4"/>
  </w:num>
  <w:num w:numId="2" w16cid:durableId="606935877">
    <w:abstractNumId w:val="31"/>
  </w:num>
  <w:num w:numId="3" w16cid:durableId="611589570">
    <w:abstractNumId w:val="26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5"/>
  </w:num>
  <w:num w:numId="15" w16cid:durableId="616722934">
    <w:abstractNumId w:val="12"/>
  </w:num>
  <w:num w:numId="16" w16cid:durableId="898320195">
    <w:abstractNumId w:val="22"/>
  </w:num>
  <w:num w:numId="17" w16cid:durableId="2128498676">
    <w:abstractNumId w:val="34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6"/>
  </w:num>
  <w:num w:numId="22" w16cid:durableId="1472481103">
    <w:abstractNumId w:val="30"/>
  </w:num>
  <w:num w:numId="23" w16cid:durableId="1997420403">
    <w:abstractNumId w:val="32"/>
  </w:num>
  <w:num w:numId="24" w16cid:durableId="33312838">
    <w:abstractNumId w:val="29"/>
  </w:num>
  <w:num w:numId="25" w16cid:durableId="507404939">
    <w:abstractNumId w:val="21"/>
  </w:num>
  <w:num w:numId="26" w16cid:durableId="883248451">
    <w:abstractNumId w:val="24"/>
  </w:num>
  <w:num w:numId="27" w16cid:durableId="1077360954">
    <w:abstractNumId w:val="37"/>
  </w:num>
  <w:num w:numId="28" w16cid:durableId="1630159843">
    <w:abstractNumId w:val="23"/>
  </w:num>
  <w:num w:numId="29" w16cid:durableId="440999242">
    <w:abstractNumId w:val="25"/>
  </w:num>
  <w:num w:numId="30" w16cid:durableId="1766461877">
    <w:abstractNumId w:val="10"/>
  </w:num>
  <w:num w:numId="31" w16cid:durableId="628973955">
    <w:abstractNumId w:val="18"/>
  </w:num>
  <w:num w:numId="32" w16cid:durableId="1627615270">
    <w:abstractNumId w:val="19"/>
  </w:num>
  <w:num w:numId="33" w16cid:durableId="2095006462">
    <w:abstractNumId w:val="27"/>
  </w:num>
  <w:num w:numId="34" w16cid:durableId="1649171284">
    <w:abstractNumId w:val="35"/>
  </w:num>
  <w:num w:numId="35" w16cid:durableId="193081481">
    <w:abstractNumId w:val="20"/>
  </w:num>
  <w:num w:numId="36" w16cid:durableId="443234154">
    <w:abstractNumId w:val="11"/>
  </w:num>
  <w:num w:numId="37" w16cid:durableId="1021979350">
    <w:abstractNumId w:val="13"/>
  </w:num>
  <w:num w:numId="38" w16cid:durableId="1501579478">
    <w:abstractNumId w:val="3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C1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AE1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98D"/>
    <w:rsid w:val="00087AEA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6B7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4E9D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25E3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4652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5F1F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7A5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CCF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07F8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47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3DBE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4DA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73F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0E0B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73D8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AB8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5DB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323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21E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3FC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5D6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5A41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6B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355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576FB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0EFA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3F4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38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13F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2B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CB6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55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878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643"/>
    <w:rsid w:val="00996726"/>
    <w:rsid w:val="00996EF4"/>
    <w:rsid w:val="009973BE"/>
    <w:rsid w:val="00997849"/>
    <w:rsid w:val="009A0FE4"/>
    <w:rsid w:val="009A1480"/>
    <w:rsid w:val="009A2B7E"/>
    <w:rsid w:val="009A35FA"/>
    <w:rsid w:val="009A3D32"/>
    <w:rsid w:val="009A3DE5"/>
    <w:rsid w:val="009A53DE"/>
    <w:rsid w:val="009A5649"/>
    <w:rsid w:val="009A6D30"/>
    <w:rsid w:val="009A75B2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A51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774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4EBD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67E4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4F55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4C78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2F46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96C33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09A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140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97A8B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E1B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2D19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BE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3B2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3745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5BFC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47489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54D7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0F12"/>
    <w:rsid w:val="00DA29A1"/>
    <w:rsid w:val="00DA2BE1"/>
    <w:rsid w:val="00DA3D4A"/>
    <w:rsid w:val="00DA420D"/>
    <w:rsid w:val="00DA4C65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02C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538"/>
    <w:rsid w:val="00ED3A2A"/>
    <w:rsid w:val="00ED6038"/>
    <w:rsid w:val="00ED653F"/>
    <w:rsid w:val="00ED6550"/>
    <w:rsid w:val="00ED748E"/>
    <w:rsid w:val="00ED7917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1F4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9C7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007"/>
    <w:rsid w:val="00F6121D"/>
    <w:rsid w:val="00F6150C"/>
    <w:rsid w:val="00F61D08"/>
    <w:rsid w:val="00F624BA"/>
    <w:rsid w:val="00F62986"/>
    <w:rsid w:val="00F62CF0"/>
    <w:rsid w:val="00F63935"/>
    <w:rsid w:val="00F64190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A12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6243FC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6243FC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Marginfooter">
    <w:name w:val="Margin footer"/>
    <w:basedOn w:val="BodyText"/>
    <w:link w:val="MarginfooterChar"/>
    <w:qFormat/>
    <w:rsid w:val="000F4E9D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0F4E9D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0F4E9D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0F4E9D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04F19FAA-930D-4731-825C-1CF0646F2A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Imjudo 5652-A SGM P2023a</vt:lpstr>
    </vt:vector>
  </TitlesOfParts>
  <Company>PCS Health Systems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Imjudo SGM 5652-A</dc:title>
  <dc:subject/>
  <dc:creator>CVS Caremark</dc:creator>
  <cp:keywords/>
  <cp:lastModifiedBy>Huerta, Linda M</cp:lastModifiedBy>
  <cp:revision>5</cp:revision>
  <cp:lastPrinted>2018-01-09T05:01:00Z</cp:lastPrinted>
  <dcterms:created xsi:type="dcterms:W3CDTF">2025-05-08T21:28:00Z</dcterms:created>
  <dcterms:modified xsi:type="dcterms:W3CDTF">2025-05-08T21:30:00Z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156000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